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6517313"/>
      <w:bookmarkStart w:id="1" w:name="_Toc35940583"/>
      <w:bookmarkStart w:id="2" w:name="_Toc534274192"/>
      <w:r>
        <w:rPr>
          <w:rFonts w:hint="eastAsia"/>
        </w:rPr>
        <w:t>南京信息工程大学在校本科生出国（境）交流奖助学金管理办法（修订）</w:t>
      </w:r>
      <w:bookmarkEnd w:id="0"/>
      <w:bookmarkEnd w:id="1"/>
    </w:p>
    <w:p>
      <w:pPr>
        <w:spacing w:line="348" w:lineRule="auto"/>
        <w:jc w:val="center"/>
        <w:rPr>
          <w:rFonts w:ascii="楷体_GB2312" w:eastAsia="楷体_GB2312"/>
          <w:kern w:val="2"/>
          <w:sz w:val="24"/>
          <w:szCs w:val="24"/>
          <w:lang w:bidi="ar-SA"/>
        </w:rPr>
      </w:pPr>
      <w:r>
        <w:rPr>
          <w:rFonts w:hint="eastAsia" w:ascii="楷体_GB2312" w:eastAsia="楷体_GB2312"/>
          <w:kern w:val="2"/>
          <w:sz w:val="24"/>
          <w:szCs w:val="24"/>
          <w:lang w:bidi="ar-SA"/>
        </w:rPr>
        <w:t>校发〔2019〕7号</w:t>
      </w:r>
    </w:p>
    <w:bookmarkEnd w:id="2"/>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为推进我校一流特色高水平大学建设，着</w:t>
      </w:r>
      <w:bookmarkStart w:id="4" w:name="_GoBack"/>
      <w:bookmarkEnd w:id="4"/>
      <w:r>
        <w:rPr>
          <w:rFonts w:hint="eastAsia" w:ascii="楷体_GB2312" w:eastAsia="楷体_GB2312"/>
          <w:kern w:val="2"/>
          <w:sz w:val="24"/>
          <w:szCs w:val="24"/>
          <w:lang w:bidi="ar-SA"/>
        </w:rPr>
        <w:t>力培养具有国际视野和国际竞争力的高素质人才，鼓励更多的优秀本科生出国（境）交流，根据</w:t>
      </w:r>
      <w:bookmarkStart w:id="3" w:name="_Hlk516473740"/>
      <w:r>
        <w:rPr>
          <w:rFonts w:hint="eastAsia" w:ascii="楷体_GB2312" w:eastAsia="楷体_GB2312"/>
          <w:kern w:val="2"/>
          <w:sz w:val="24"/>
          <w:szCs w:val="24"/>
          <w:lang w:bidi="ar-SA"/>
        </w:rPr>
        <w:t>《南京信息工程大学在校生校际交流项目出国（境）学习暂行管理办法（试行）》及《南京信息工程大学本科生出国（境）学习校际交流奖助学金管理办法》等文件精神</w:t>
      </w:r>
      <w:bookmarkEnd w:id="3"/>
      <w:r>
        <w:rPr>
          <w:rFonts w:hint="eastAsia" w:ascii="楷体_GB2312" w:eastAsia="楷体_GB2312"/>
          <w:kern w:val="2"/>
          <w:sz w:val="24"/>
          <w:szCs w:val="24"/>
          <w:lang w:bidi="ar-SA"/>
        </w:rPr>
        <w:t>，结合学校实际情况，特制定《南京信息工程大学在校本科生出国（境）交流奖助学金管理办法（修订）》。</w:t>
      </w:r>
    </w:p>
    <w:p>
      <w:pPr>
        <w:widowControl w:val="0"/>
        <w:spacing w:before="156" w:beforeLines="50" w:after="156" w:afterLines="50" w:line="360" w:lineRule="auto"/>
        <w:rPr>
          <w:rFonts w:ascii="楷体_GB2312" w:eastAsia="楷体_GB2312"/>
          <w:b/>
          <w:kern w:val="2"/>
          <w:sz w:val="24"/>
          <w:szCs w:val="24"/>
          <w:lang w:bidi="ar-SA"/>
        </w:rPr>
      </w:pPr>
      <w:r>
        <w:rPr>
          <w:rFonts w:hint="eastAsia" w:ascii="楷体_GB2312" w:eastAsia="楷体_GB2312"/>
          <w:b/>
          <w:kern w:val="2"/>
          <w:sz w:val="24"/>
          <w:szCs w:val="24"/>
          <w:lang w:bidi="ar-SA"/>
        </w:rPr>
        <w:t>一、奖助学金评审机构</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学校成立“南京信息工程大学本科生校际交流奖助学金评审小组”，由分管校领导、国际合作与交流处（港澳台事务办公室）、教务处、学生工作处、财务处、监察处及各有关学院负责人组成。评审小组的日常工作由国际合作与交流处负责。</w:t>
      </w:r>
    </w:p>
    <w:p>
      <w:pPr>
        <w:widowControl w:val="0"/>
        <w:spacing w:before="156" w:beforeLines="50" w:after="156" w:afterLines="50" w:line="360" w:lineRule="auto"/>
        <w:rPr>
          <w:rFonts w:ascii="楷体_GB2312" w:eastAsia="楷体_GB2312"/>
          <w:b/>
          <w:kern w:val="2"/>
          <w:sz w:val="24"/>
          <w:szCs w:val="24"/>
          <w:lang w:bidi="ar-SA"/>
        </w:rPr>
      </w:pPr>
      <w:r>
        <w:rPr>
          <w:rFonts w:hint="eastAsia" w:ascii="楷体_GB2312" w:eastAsia="楷体_GB2312"/>
          <w:b/>
          <w:kern w:val="2"/>
          <w:sz w:val="24"/>
          <w:szCs w:val="24"/>
          <w:lang w:bidi="ar-SA"/>
        </w:rPr>
        <w:t>二、奖助学金来源</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1．学校设立专项基金</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2. 各类定向捐赠经费</w:t>
      </w:r>
    </w:p>
    <w:p>
      <w:pPr>
        <w:widowControl w:val="0"/>
        <w:spacing w:before="156" w:beforeLines="50" w:after="156" w:afterLines="50" w:line="360" w:lineRule="auto"/>
        <w:rPr>
          <w:rFonts w:ascii="楷体_GB2312" w:eastAsia="楷体_GB2312"/>
          <w:b/>
          <w:kern w:val="2"/>
          <w:sz w:val="24"/>
          <w:szCs w:val="24"/>
          <w:lang w:bidi="ar-SA"/>
        </w:rPr>
      </w:pPr>
      <w:r>
        <w:rPr>
          <w:rFonts w:hint="eastAsia" w:ascii="楷体_GB2312" w:eastAsia="楷体_GB2312"/>
          <w:b/>
          <w:kern w:val="2"/>
          <w:sz w:val="24"/>
          <w:szCs w:val="24"/>
          <w:lang w:bidi="ar-SA"/>
        </w:rPr>
        <w:t>三、奖助学金申请对象和条件</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1. 申请对象：我校在读中国籍全日制本科生</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2. 申请条件：</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（1）热爱祖国，遵纪守法；</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（2）诚实守信，道德品质优良，身心健康；</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（3）在校期间，学习努力，成绩优良；</w:t>
      </w:r>
    </w:p>
    <w:p>
      <w:pPr>
        <w:widowControl w:val="0"/>
        <w:spacing w:line="360" w:lineRule="auto"/>
        <w:ind w:left="840" w:hanging="840" w:hangingChars="350"/>
        <w:rPr>
          <w:rFonts w:ascii="楷体_GB2312" w:eastAsia="楷体_GB2312"/>
          <w:kern w:val="2"/>
          <w:sz w:val="24"/>
          <w:szCs w:val="24"/>
          <w:lang w:bidi="ar-SA"/>
        </w:rPr>
      </w:pPr>
      <w:r>
        <w:rPr>
          <w:rFonts w:hint="eastAsia" w:ascii="楷体_GB2312" w:eastAsia="楷体_GB2312"/>
          <w:kern w:val="2"/>
          <w:sz w:val="24"/>
          <w:szCs w:val="24"/>
          <w:lang w:bidi="ar-SA"/>
        </w:rPr>
        <w:t>　　 　（4）申请者提交申请时，平均学分绩点在2.5及以上或专业必修课排名在班级前50%。新生在第一学期提交申请，可先行参加交流项目，但奖助学金评审以第一学期期末成绩为准。</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3．同等条件下，家庭经济困难学生优先。</w:t>
      </w:r>
    </w:p>
    <w:p>
      <w:pPr>
        <w:widowControl w:val="0"/>
        <w:spacing w:before="156" w:beforeLines="50" w:after="156" w:afterLines="50" w:line="360" w:lineRule="auto"/>
        <w:rPr>
          <w:rFonts w:ascii="楷体_GB2312" w:eastAsia="楷体_GB2312"/>
          <w:b/>
          <w:kern w:val="2"/>
          <w:sz w:val="24"/>
          <w:szCs w:val="24"/>
          <w:lang w:bidi="ar-SA"/>
        </w:rPr>
      </w:pPr>
      <w:r>
        <w:rPr>
          <w:rFonts w:hint="eastAsia" w:ascii="楷体_GB2312" w:eastAsia="楷体_GB2312"/>
          <w:b/>
          <w:kern w:val="2"/>
          <w:sz w:val="24"/>
          <w:szCs w:val="24"/>
          <w:lang w:bidi="ar-SA"/>
        </w:rPr>
        <w:t>四、奖助学金类型及额度</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1．评审小组根据交流学校的层次和学生交流学习期限确定奖助学金额度。</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（1）国外交流奖助学金设置见下表：</w:t>
      </w:r>
    </w:p>
    <w:tbl>
      <w:tblPr>
        <w:tblStyle w:val="10"/>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3403"/>
        <w:gridCol w:w="1984"/>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000" w:type="pct"/>
            <w:gridSpan w:val="4"/>
            <w:vAlign w:val="center"/>
          </w:tcPr>
          <w:p>
            <w:pPr>
              <w:widowControl w:val="0"/>
              <w:jc w:val="center"/>
              <w:rPr>
                <w:rFonts w:ascii="楷体_GB2312" w:eastAsia="楷体_GB2312"/>
                <w:b/>
                <w:sz w:val="24"/>
                <w:szCs w:val="24"/>
                <w:lang w:bidi="ar-SA"/>
              </w:rPr>
            </w:pPr>
            <w:r>
              <w:rPr>
                <w:rFonts w:hint="eastAsia" w:ascii="楷体_GB2312" w:eastAsia="楷体_GB2312"/>
                <w:b/>
                <w:sz w:val="24"/>
                <w:szCs w:val="24"/>
                <w:lang w:bidi="ar-SA"/>
              </w:rPr>
              <w:t>国外交流学校奖助学金设置一览表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2" w:type="pct"/>
            <w:gridSpan w:val="2"/>
            <w:vAlign w:val="center"/>
          </w:tcPr>
          <w:p>
            <w:pPr>
              <w:widowControl w:val="0"/>
              <w:jc w:val="center"/>
              <w:rPr>
                <w:rFonts w:ascii="楷体_GB2312" w:eastAsia="楷体_GB2312"/>
                <w:b/>
                <w:sz w:val="24"/>
                <w:szCs w:val="24"/>
                <w:lang w:bidi="ar-SA"/>
              </w:rPr>
            </w:pPr>
            <w:r>
              <w:rPr>
                <w:rFonts w:hint="eastAsia" w:ascii="楷体_GB2312" w:eastAsia="楷体_GB2312"/>
                <w:b/>
                <w:sz w:val="24"/>
                <w:szCs w:val="24"/>
                <w:lang w:bidi="ar-SA"/>
              </w:rPr>
              <w:t>交流学校</w:t>
            </w:r>
          </w:p>
        </w:tc>
        <w:tc>
          <w:tcPr>
            <w:tcW w:w="1133" w:type="pct"/>
            <w:vAlign w:val="center"/>
          </w:tcPr>
          <w:p>
            <w:pPr>
              <w:widowControl w:val="0"/>
              <w:jc w:val="center"/>
              <w:rPr>
                <w:rFonts w:ascii="楷体_GB2312" w:eastAsia="楷体_GB2312"/>
                <w:b/>
                <w:sz w:val="24"/>
                <w:szCs w:val="24"/>
                <w:lang w:bidi="ar-SA"/>
              </w:rPr>
            </w:pPr>
            <w:r>
              <w:rPr>
                <w:rFonts w:hint="eastAsia" w:ascii="楷体_GB2312" w:eastAsia="楷体_GB2312"/>
                <w:b/>
                <w:sz w:val="24"/>
                <w:szCs w:val="24"/>
                <w:lang w:bidi="ar-SA"/>
              </w:rPr>
              <w:t>三个月以下</w:t>
            </w:r>
          </w:p>
          <w:p>
            <w:pPr>
              <w:widowControl w:val="0"/>
              <w:jc w:val="center"/>
              <w:rPr>
                <w:rFonts w:ascii="楷体_GB2312" w:eastAsia="楷体_GB2312"/>
                <w:b/>
                <w:sz w:val="24"/>
                <w:szCs w:val="24"/>
                <w:lang w:bidi="ar-SA"/>
              </w:rPr>
            </w:pPr>
            <w:r>
              <w:rPr>
                <w:rFonts w:hint="eastAsia" w:ascii="楷体_GB2312" w:eastAsia="楷体_GB2312"/>
                <w:b/>
                <w:sz w:val="24"/>
                <w:szCs w:val="24"/>
                <w:lang w:bidi="ar-SA"/>
              </w:rPr>
              <w:t>奖助学金额度</w:t>
            </w:r>
          </w:p>
        </w:tc>
        <w:tc>
          <w:tcPr>
            <w:tcW w:w="1215" w:type="pct"/>
            <w:vAlign w:val="center"/>
          </w:tcPr>
          <w:p>
            <w:pPr>
              <w:widowControl w:val="0"/>
              <w:jc w:val="center"/>
              <w:rPr>
                <w:rFonts w:ascii="楷体_GB2312" w:eastAsia="楷体_GB2312"/>
                <w:b/>
                <w:sz w:val="24"/>
                <w:szCs w:val="24"/>
                <w:lang w:bidi="ar-SA"/>
              </w:rPr>
            </w:pPr>
            <w:r>
              <w:rPr>
                <w:rFonts w:hint="eastAsia" w:ascii="楷体_GB2312" w:eastAsia="楷体_GB2312"/>
                <w:b/>
                <w:sz w:val="24"/>
                <w:szCs w:val="24"/>
                <w:lang w:bidi="ar-SA"/>
              </w:rPr>
              <w:t>三个月（含）以上</w:t>
            </w:r>
          </w:p>
          <w:p>
            <w:pPr>
              <w:widowControl w:val="0"/>
              <w:jc w:val="center"/>
              <w:rPr>
                <w:rFonts w:ascii="楷体_GB2312" w:eastAsia="楷体_GB2312"/>
                <w:b/>
                <w:sz w:val="24"/>
                <w:szCs w:val="24"/>
                <w:lang w:bidi="ar-SA"/>
              </w:rPr>
            </w:pPr>
            <w:r>
              <w:rPr>
                <w:rFonts w:hint="eastAsia" w:ascii="楷体_GB2312" w:eastAsia="楷体_GB2312"/>
                <w:b/>
                <w:sz w:val="24"/>
                <w:szCs w:val="24"/>
                <w:lang w:bidi="ar-SA"/>
              </w:rPr>
              <w:t>奖助学金额度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一流名校</w:t>
            </w:r>
          </w:p>
        </w:tc>
        <w:tc>
          <w:tcPr>
            <w:tcW w:w="1943" w:type="pct"/>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亚洲周边国家院校</w:t>
            </w:r>
          </w:p>
        </w:tc>
        <w:tc>
          <w:tcPr>
            <w:tcW w:w="1133"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5000元</w:t>
            </w:r>
          </w:p>
        </w:tc>
        <w:tc>
          <w:tcPr>
            <w:tcW w:w="1215"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vAlign w:val="center"/>
          </w:tcPr>
          <w:p>
            <w:pPr>
              <w:widowControl w:val="0"/>
              <w:spacing w:line="360" w:lineRule="auto"/>
              <w:rPr>
                <w:rFonts w:ascii="楷体_GB2312" w:eastAsia="楷体_GB2312"/>
                <w:sz w:val="24"/>
                <w:szCs w:val="24"/>
                <w:lang w:bidi="ar-SA"/>
              </w:rPr>
            </w:pPr>
          </w:p>
        </w:tc>
        <w:tc>
          <w:tcPr>
            <w:tcW w:w="1943" w:type="pct"/>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澳洲美洲欧洲及其他地区院校</w:t>
            </w:r>
          </w:p>
        </w:tc>
        <w:tc>
          <w:tcPr>
            <w:tcW w:w="1133"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10000元</w:t>
            </w:r>
          </w:p>
        </w:tc>
        <w:tc>
          <w:tcPr>
            <w:tcW w:w="1215"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pct"/>
            <w:vMerge w:val="restart"/>
            <w:vAlign w:val="center"/>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知名院校</w:t>
            </w:r>
          </w:p>
        </w:tc>
        <w:tc>
          <w:tcPr>
            <w:tcW w:w="1943" w:type="pct"/>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亚洲周边国家院校</w:t>
            </w:r>
          </w:p>
        </w:tc>
        <w:tc>
          <w:tcPr>
            <w:tcW w:w="1133"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5000元</w:t>
            </w:r>
          </w:p>
        </w:tc>
        <w:tc>
          <w:tcPr>
            <w:tcW w:w="1215"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vAlign w:val="center"/>
          </w:tcPr>
          <w:p>
            <w:pPr>
              <w:widowControl w:val="0"/>
              <w:spacing w:line="360" w:lineRule="auto"/>
              <w:rPr>
                <w:rFonts w:ascii="楷体_GB2312" w:eastAsia="楷体_GB2312"/>
                <w:sz w:val="24"/>
                <w:szCs w:val="24"/>
                <w:lang w:bidi="ar-SA"/>
              </w:rPr>
            </w:pPr>
          </w:p>
        </w:tc>
        <w:tc>
          <w:tcPr>
            <w:tcW w:w="1943" w:type="pct"/>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澳洲美洲欧洲及其他地区院校</w:t>
            </w:r>
          </w:p>
        </w:tc>
        <w:tc>
          <w:tcPr>
            <w:tcW w:w="1133"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10000元</w:t>
            </w:r>
          </w:p>
        </w:tc>
        <w:tc>
          <w:tcPr>
            <w:tcW w:w="1215"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一般院校</w:t>
            </w:r>
          </w:p>
        </w:tc>
        <w:tc>
          <w:tcPr>
            <w:tcW w:w="1943" w:type="pct"/>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亚洲周边国家院校</w:t>
            </w:r>
          </w:p>
        </w:tc>
        <w:tc>
          <w:tcPr>
            <w:tcW w:w="1133"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5000元</w:t>
            </w:r>
          </w:p>
        </w:tc>
        <w:tc>
          <w:tcPr>
            <w:tcW w:w="1215"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tcPr>
          <w:p>
            <w:pPr>
              <w:widowControl w:val="0"/>
              <w:spacing w:line="360" w:lineRule="auto"/>
              <w:rPr>
                <w:rFonts w:ascii="楷体_GB2312" w:eastAsia="楷体_GB2312"/>
                <w:sz w:val="24"/>
                <w:szCs w:val="24"/>
                <w:lang w:bidi="ar-SA"/>
              </w:rPr>
            </w:pPr>
          </w:p>
        </w:tc>
        <w:tc>
          <w:tcPr>
            <w:tcW w:w="1943" w:type="pct"/>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澳洲美洲欧洲及其他地区院校</w:t>
            </w:r>
          </w:p>
        </w:tc>
        <w:tc>
          <w:tcPr>
            <w:tcW w:w="1133"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10000元</w:t>
            </w:r>
          </w:p>
        </w:tc>
        <w:tc>
          <w:tcPr>
            <w:tcW w:w="1215" w:type="pct"/>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20000元</w:t>
            </w:r>
          </w:p>
        </w:tc>
      </w:tr>
    </w:tbl>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（2）港澳台地区奖助学金设置见下表：</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180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3"/>
          </w:tcPr>
          <w:p>
            <w:pPr>
              <w:widowControl w:val="0"/>
              <w:spacing w:line="360" w:lineRule="auto"/>
              <w:jc w:val="center"/>
              <w:rPr>
                <w:rFonts w:ascii="楷体_GB2312" w:eastAsia="楷体_GB2312"/>
                <w:b/>
                <w:sz w:val="24"/>
                <w:szCs w:val="24"/>
                <w:lang w:bidi="ar-SA"/>
              </w:rPr>
            </w:pPr>
            <w:r>
              <w:rPr>
                <w:rFonts w:hint="eastAsia" w:ascii="楷体_GB2312" w:eastAsia="楷体_GB2312"/>
                <w:b/>
                <w:sz w:val="24"/>
                <w:szCs w:val="24"/>
                <w:lang w:bidi="ar-SA"/>
              </w:rPr>
              <w:t>港澳台地区奖助学金设置一览表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val="0"/>
              <w:spacing w:line="360" w:lineRule="auto"/>
              <w:jc w:val="center"/>
              <w:rPr>
                <w:rFonts w:ascii="楷体_GB2312" w:eastAsia="楷体_GB2312"/>
                <w:b/>
                <w:sz w:val="24"/>
                <w:szCs w:val="24"/>
                <w:lang w:bidi="ar-SA"/>
              </w:rPr>
            </w:pPr>
            <w:r>
              <w:rPr>
                <w:rFonts w:hint="eastAsia" w:ascii="楷体_GB2312" w:eastAsia="楷体_GB2312"/>
                <w:b/>
                <w:sz w:val="24"/>
                <w:szCs w:val="24"/>
                <w:lang w:bidi="ar-SA"/>
              </w:rPr>
              <w:t>交流项目类型</w:t>
            </w:r>
          </w:p>
        </w:tc>
        <w:tc>
          <w:tcPr>
            <w:tcW w:w="1804" w:type="dxa"/>
          </w:tcPr>
          <w:p>
            <w:pPr>
              <w:widowControl w:val="0"/>
              <w:spacing w:line="360" w:lineRule="auto"/>
              <w:jc w:val="center"/>
              <w:rPr>
                <w:rFonts w:ascii="楷体_GB2312" w:eastAsia="楷体_GB2312"/>
                <w:b/>
                <w:sz w:val="24"/>
                <w:szCs w:val="24"/>
                <w:lang w:bidi="ar-SA"/>
              </w:rPr>
            </w:pPr>
            <w:r>
              <w:rPr>
                <w:rFonts w:hint="eastAsia" w:ascii="楷体_GB2312" w:eastAsia="楷体_GB2312"/>
                <w:b/>
                <w:sz w:val="24"/>
                <w:szCs w:val="24"/>
                <w:lang w:bidi="ar-SA"/>
              </w:rPr>
              <w:t>奖助学金额度</w:t>
            </w:r>
          </w:p>
        </w:tc>
        <w:tc>
          <w:tcPr>
            <w:tcW w:w="4111" w:type="dxa"/>
          </w:tcPr>
          <w:p>
            <w:pPr>
              <w:widowControl w:val="0"/>
              <w:spacing w:line="360" w:lineRule="auto"/>
              <w:jc w:val="center"/>
              <w:rPr>
                <w:rFonts w:ascii="楷体_GB2312" w:eastAsia="楷体_GB2312"/>
                <w:b/>
                <w:sz w:val="24"/>
                <w:szCs w:val="24"/>
                <w:lang w:bidi="ar-SA"/>
              </w:rPr>
            </w:pPr>
            <w:r>
              <w:rPr>
                <w:rFonts w:hint="eastAsia" w:ascii="楷体_GB2312" w:eastAsia="楷体_GB2312"/>
                <w:b/>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短期交流项目</w:t>
            </w:r>
          </w:p>
        </w:tc>
        <w:tc>
          <w:tcPr>
            <w:tcW w:w="1804" w:type="dxa"/>
            <w:vAlign w:val="center"/>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5000元/人</w:t>
            </w:r>
          </w:p>
        </w:tc>
        <w:tc>
          <w:tcPr>
            <w:tcW w:w="4111" w:type="dxa"/>
          </w:tcPr>
          <w:p>
            <w:pPr>
              <w:widowControl w:val="0"/>
              <w:spacing w:line="360" w:lineRule="auto"/>
              <w:rPr>
                <w:rFonts w:ascii="楷体_GB2312" w:eastAsia="楷体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一学期及以上交流项目</w:t>
            </w:r>
          </w:p>
        </w:tc>
        <w:tc>
          <w:tcPr>
            <w:tcW w:w="1804" w:type="dxa"/>
            <w:vAlign w:val="center"/>
          </w:tcPr>
          <w:p>
            <w:pPr>
              <w:widowControl w:val="0"/>
              <w:spacing w:line="360" w:lineRule="auto"/>
              <w:jc w:val="center"/>
              <w:rPr>
                <w:rFonts w:ascii="楷体_GB2312" w:eastAsia="楷体_GB2312"/>
                <w:sz w:val="24"/>
                <w:szCs w:val="24"/>
                <w:lang w:bidi="ar-SA"/>
              </w:rPr>
            </w:pPr>
            <w:r>
              <w:rPr>
                <w:rFonts w:hint="eastAsia" w:ascii="楷体_GB2312" w:eastAsia="楷体_GB2312"/>
                <w:sz w:val="24"/>
                <w:szCs w:val="24"/>
                <w:lang w:bidi="ar-SA"/>
              </w:rPr>
              <w:t>10000元/人</w:t>
            </w:r>
          </w:p>
        </w:tc>
        <w:tc>
          <w:tcPr>
            <w:tcW w:w="4111" w:type="dxa"/>
          </w:tcPr>
          <w:p>
            <w:pPr>
              <w:widowControl w:val="0"/>
              <w:spacing w:line="360" w:lineRule="auto"/>
              <w:rPr>
                <w:rFonts w:ascii="楷体_GB2312" w:eastAsia="楷体_GB2312"/>
                <w:sz w:val="24"/>
                <w:szCs w:val="24"/>
                <w:lang w:bidi="ar-SA"/>
              </w:rPr>
            </w:pPr>
            <w:r>
              <w:rPr>
                <w:rFonts w:hint="eastAsia" w:ascii="楷体_GB2312" w:eastAsia="楷体_GB2312"/>
                <w:sz w:val="24"/>
                <w:szCs w:val="24"/>
                <w:lang w:bidi="ar-SA"/>
              </w:rPr>
              <w:t>合作学校提供的学费减免视为我校提供的奖助学金，若减免额不足1万元，由我校补足到1万元。</w:t>
            </w:r>
          </w:p>
        </w:tc>
      </w:tr>
    </w:tbl>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备注：港澳台地区奖助学金不按交流学校的层次进行分类设置，只按交流时间的长短设置。</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2. 一流名校指最近2年内在四大排行榜（QS、Times、USNews、上海交大）任何一次综合排名进入全球前100名的院校，知名院校指全球排名前101-200的院校，一般院校须为中国教育部涉外监管信息网公布的外国高等学校名单中所列院校。</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3. 各级各类政府公派奖助学金项目，学校根据上级政策给予一定金额的配套补贴，政策规定低于我校奖助学金标准的，按照我校标准补足。</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4. 对赴国际组织、科研机构实习、交换等同样给予资助，资助额度参照交流奖学金的划分，根据国际组织/科研机构的类别、所在地和实习期限给予相应的资助。一类组织/机构指联合国下属的组织机构，如世界气象组织及同级别组织机构，参照一流大学资助标准；二类组织/机构指其他世界性国际组织/机构，参照知名院校资助标准。</w:t>
      </w:r>
    </w:p>
    <w:p>
      <w:pPr>
        <w:widowControl w:val="0"/>
        <w:spacing w:before="156" w:beforeLines="50" w:after="156" w:afterLines="50" w:line="360" w:lineRule="auto"/>
        <w:rPr>
          <w:rFonts w:ascii="楷体_GB2312" w:eastAsia="楷体_GB2312"/>
          <w:b/>
          <w:kern w:val="2"/>
          <w:sz w:val="24"/>
          <w:szCs w:val="24"/>
          <w:lang w:bidi="ar-SA"/>
        </w:rPr>
      </w:pPr>
      <w:r>
        <w:rPr>
          <w:rFonts w:hint="eastAsia" w:ascii="楷体_GB2312" w:eastAsia="楷体_GB2312"/>
          <w:b/>
          <w:kern w:val="2"/>
          <w:sz w:val="24"/>
          <w:szCs w:val="24"/>
          <w:lang w:bidi="ar-SA"/>
        </w:rPr>
        <w:t>五、奖助学金评审流程及发放</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1. 奖助学金评审程序：</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1）学院初审：符合申请条件的学生需向所在学院提交《南京信息工程大学本科生校际交流奖助学金申请表》、南京信息工程大学学业成绩表原件，各学院对学生进行初审后上报评审小组，学校不接受学生个人报名申请。</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（2）评审小组复审：评审小组对学生进行选拔考核，综合评定学生资格。</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（3）评审小组将评审结果在校内公示一周。</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（4）奖助学金名单一经公示，学生不得随意放弃，无特殊理由放弃奖助学金或者申请材料弄虚作假的学生，不得再次申请任何交流项目奖助学金。</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xml:space="preserve">　　2. 奖助学金发放： </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（1）获得奖助学金者，须在项目规定的时间内出国（境）交流。</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（2）学校在学生学习期满返校后，学校将为遵守规定、修满项目规定学分并成绩合格者一次性发放奖助学金。</w:t>
      </w:r>
    </w:p>
    <w:p>
      <w:pPr>
        <w:widowControl w:val="0"/>
        <w:spacing w:before="156" w:beforeLines="50" w:after="156" w:afterLines="50" w:line="360" w:lineRule="auto"/>
        <w:rPr>
          <w:rFonts w:ascii="楷体_GB2312" w:eastAsia="楷体_GB2312"/>
          <w:b/>
          <w:kern w:val="2"/>
          <w:sz w:val="24"/>
          <w:szCs w:val="24"/>
          <w:lang w:bidi="ar-SA"/>
        </w:rPr>
      </w:pPr>
      <w:r>
        <w:rPr>
          <w:rFonts w:hint="eastAsia" w:ascii="楷体_GB2312" w:eastAsia="楷体_GB2312"/>
          <w:b/>
          <w:kern w:val="2"/>
          <w:sz w:val="24"/>
          <w:szCs w:val="24"/>
          <w:lang w:bidi="ar-SA"/>
        </w:rPr>
        <w:t>　六、跟踪管理</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1. 获得奖助学金者，在国（境）外学习期间的学籍管理由教务处按照学校相关规定执行。</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2. 学生必须对自己在国（境）外的行为负全责。若学生在外学习和交流期间没有完成相应的任务或违反学校有关规定，学校将取消其奖助学金资格。</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3. 学生申请赴国（境）外学习之前，应充分了解对方学校的课程设置，并对照我校的教学计划，妥善安排学习计划，报所在学院备案。</w:t>
      </w:r>
    </w:p>
    <w:p>
      <w:pPr>
        <w:widowControl w:val="0"/>
        <w:spacing w:line="360" w:lineRule="auto"/>
        <w:rPr>
          <w:rFonts w:ascii="楷体_GB2312" w:eastAsia="楷体_GB2312"/>
          <w:kern w:val="2"/>
          <w:sz w:val="24"/>
          <w:szCs w:val="24"/>
          <w:lang w:bidi="ar-SA"/>
        </w:rPr>
      </w:pPr>
      <w:r>
        <w:rPr>
          <w:rFonts w:hint="eastAsia" w:ascii="楷体_GB2312" w:eastAsia="楷体_GB2312"/>
          <w:kern w:val="2"/>
          <w:sz w:val="24"/>
          <w:szCs w:val="24"/>
          <w:lang w:bidi="ar-SA"/>
        </w:rPr>
        <w:t>　　4. 学生在外学习期满后，按时返校报到，按照《南京信息工程大学学生出国（境）学习课程认定及学分转换管理办法（试行）》的有关规定，完成课程认定、成绩评定和学分转换等工作，并向评审小组提交书面总结报告。</w:t>
      </w:r>
    </w:p>
    <w:p>
      <w:pPr>
        <w:widowControl w:val="0"/>
        <w:spacing w:before="156" w:beforeLines="50" w:after="156" w:afterLines="50" w:line="360" w:lineRule="auto"/>
        <w:rPr>
          <w:rFonts w:ascii="楷体_GB2312" w:eastAsia="楷体_GB2312"/>
          <w:b/>
          <w:kern w:val="2"/>
          <w:sz w:val="24"/>
          <w:szCs w:val="24"/>
          <w:lang w:bidi="ar-SA"/>
        </w:rPr>
      </w:pPr>
      <w:r>
        <w:rPr>
          <w:rFonts w:hint="eastAsia" w:ascii="楷体_GB2312" w:eastAsia="楷体_GB2312"/>
          <w:b/>
          <w:kern w:val="2"/>
          <w:sz w:val="24"/>
          <w:szCs w:val="24"/>
          <w:lang w:bidi="ar-SA"/>
        </w:rPr>
        <w:t>七、附则</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1. 学生在校期间，只能享受一次本类型奖助学金。</w:t>
      </w:r>
    </w:p>
    <w:p>
      <w:pPr>
        <w:widowControl w:val="0"/>
        <w:spacing w:line="360" w:lineRule="auto"/>
        <w:ind w:firstLine="480" w:firstLineChars="200"/>
        <w:rPr>
          <w:rFonts w:ascii="楷体_GB2312" w:eastAsia="楷体_GB2312"/>
          <w:kern w:val="2"/>
          <w:sz w:val="24"/>
          <w:szCs w:val="24"/>
          <w:lang w:bidi="ar-SA"/>
        </w:rPr>
      </w:pPr>
      <w:r>
        <w:rPr>
          <w:rFonts w:hint="eastAsia" w:ascii="楷体_GB2312" w:eastAsia="楷体_GB2312"/>
          <w:kern w:val="2"/>
          <w:sz w:val="24"/>
          <w:szCs w:val="24"/>
          <w:lang w:bidi="ar-SA"/>
        </w:rPr>
        <w:t>2. 本办法自颁布之日起实施，原《南京信息工程大学在校生校际交流项目出国（境）学习暂行管理办法（试行）》《南京信息工程大学本科生出国（境）学习校际交流奖学金管理办法》《南京信息工程大学本科生赴台交流专项奖学金管理办法（试行）》同时废止。未尽事宜由国际合作与交流处（港澳台事务办公室）负责解释。</w:t>
      </w: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hint="eastAsia" w:ascii="楷体_GB2312" w:hAnsi="仿宋" w:eastAsia="楷体_GB2312"/>
          <w:sz w:val="24"/>
          <w:szCs w:val="24"/>
        </w:rPr>
      </w:pPr>
    </w:p>
    <w:p>
      <w:pPr>
        <w:jc w:val="left"/>
        <w:rPr>
          <w:rFonts w:ascii="楷体_GB2312" w:hAnsi="仿宋" w:eastAsia="楷体_GB2312"/>
          <w:sz w:val="24"/>
          <w:szCs w:val="24"/>
        </w:rPr>
      </w:pPr>
    </w:p>
    <w:p>
      <w:pPr>
        <w:jc w:val="left"/>
        <w:rPr>
          <w:rFonts w:ascii="楷体_GB2312" w:hAnsi="仿宋" w:eastAsia="楷体_GB2312"/>
          <w:sz w:val="24"/>
          <w:szCs w:val="24"/>
        </w:rPr>
      </w:pPr>
      <w:r>
        <w:rPr>
          <w:rFonts w:hint="eastAsia" w:ascii="楷体_GB2312" w:hAnsi="仿宋" w:eastAsia="楷体_GB2312"/>
          <w:sz w:val="24"/>
          <w:szCs w:val="24"/>
        </w:rPr>
        <w:t>—————————————————————————————————————</w:t>
      </w:r>
    </w:p>
    <w:p>
      <w:pPr>
        <w:jc w:val="left"/>
        <w:rPr>
          <w:rFonts w:ascii="楷体_GB2312" w:hAnsi="仿宋" w:eastAsia="楷体_GB2312"/>
          <w:sz w:val="24"/>
          <w:szCs w:val="24"/>
        </w:rPr>
      </w:pPr>
      <w:r>
        <w:rPr>
          <w:rFonts w:hint="eastAsia" w:ascii="楷体_GB2312" w:hAnsi="仿宋" w:eastAsia="楷体_GB2312"/>
          <w:sz w:val="24"/>
          <w:szCs w:val="24"/>
        </w:rPr>
        <w:t>南京信息工程大学党委校长办公室               2019年1月15日印发</w:t>
      </w:r>
    </w:p>
    <w:p>
      <w:pPr>
        <w:jc w:val="left"/>
        <w:rPr>
          <w:rFonts w:ascii="楷体_GB2312" w:hAnsi="仿宋" w:eastAsia="楷体_GB2312"/>
          <w:sz w:val="24"/>
          <w:szCs w:val="24"/>
        </w:rPr>
      </w:pPr>
      <w:r>
        <w:rPr>
          <w:rFonts w:hint="eastAsia" w:ascii="楷体_GB2312" w:hAnsi="仿宋" w:eastAsia="楷体_GB2312"/>
          <w:sz w:val="24"/>
          <w:szCs w:val="24"/>
        </w:rPr>
        <w:t>—————————————————————————————————————</w:t>
      </w:r>
    </w:p>
    <w:p>
      <w:pPr>
        <w:jc w:val="left"/>
        <w:rPr>
          <w:rFonts w:ascii="楷体_GB2312" w:hAnsi="仿宋" w:eastAsia="楷体_GB2312"/>
          <w:sz w:val="24"/>
          <w:szCs w:val="24"/>
        </w:rPr>
      </w:pPr>
    </w:p>
    <w:p>
      <w:pPr>
        <w:pStyle w:val="2"/>
      </w:pPr>
    </w:p>
    <w:p>
      <w:pPr>
        <w:pStyle w:val="2"/>
      </w:pPr>
    </w:p>
    <w:p>
      <w:pPr>
        <w:pStyle w:val="2"/>
      </w:pP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12"/>
    <w:rsid w:val="001468BA"/>
    <w:rsid w:val="002166F2"/>
    <w:rsid w:val="00735438"/>
    <w:rsid w:val="009F4F12"/>
    <w:rsid w:val="5FA72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kern w:val="0"/>
      <w:sz w:val="21"/>
      <w:szCs w:val="21"/>
      <w:lang w:val="en-US" w:eastAsia="zh-CN" w:bidi="mn-Mong-CN"/>
    </w:rPr>
  </w:style>
  <w:style w:type="paragraph" w:styleId="2">
    <w:name w:val="heading 1"/>
    <w:next w:val="1"/>
    <w:link w:val="9"/>
    <w:qFormat/>
    <w:uiPriority w:val="7"/>
    <w:pPr>
      <w:jc w:val="center"/>
      <w:outlineLvl w:val="0"/>
    </w:pPr>
    <w:rPr>
      <w:rFonts w:ascii="Calibri" w:hAnsi="Calibri" w:eastAsia="楷体" w:cs="Times New Roman"/>
      <w:b/>
      <w:kern w:val="0"/>
      <w:sz w:val="32"/>
      <w:szCs w:val="28"/>
      <w:lang w:val="en-US" w:eastAsia="zh-CN" w:bidi="mn-Mong-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widowControl w:val="0"/>
      <w:tabs>
        <w:tab w:val="center" w:pos="4153"/>
        <w:tab w:val="right" w:pos="8306"/>
      </w:tabs>
      <w:snapToGrid w:val="0"/>
      <w:jc w:val="left"/>
    </w:pPr>
    <w:rPr>
      <w:rFonts w:asciiTheme="minorHAnsi" w:hAnsiTheme="minorHAnsi" w:eastAsiaTheme="minorEastAsia" w:cstheme="minorBidi"/>
      <w:kern w:val="2"/>
      <w:sz w:val="18"/>
      <w:szCs w:val="18"/>
      <w:lang w:bidi="ar-SA"/>
    </w:rPr>
  </w:style>
  <w:style w:type="paragraph" w:styleId="4">
    <w:name w:val="header"/>
    <w:basedOn w:val="1"/>
    <w:link w:val="7"/>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bidi="ar-SA"/>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7"/>
    <w:rPr>
      <w:rFonts w:ascii="Calibri" w:hAnsi="Calibri" w:eastAsia="楷体" w:cs="Times New Roman"/>
      <w:b/>
      <w:kern w:val="0"/>
      <w:sz w:val="32"/>
      <w:szCs w:val="28"/>
      <w:lang w:bidi="mn-Mong-CN"/>
    </w:rPr>
  </w:style>
  <w:style w:type="table" w:customStyle="1" w:styleId="10">
    <w:name w:val="网格型2"/>
    <w:basedOn w:val="5"/>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5</Pages>
  <Words>353</Words>
  <Characters>2017</Characters>
  <Lines>16</Lines>
  <Paragraphs>4</Paragraphs>
  <TotalTime>1</TotalTime>
  <ScaleCrop>false</ScaleCrop>
  <LinksUpToDate>false</LinksUpToDate>
  <CharactersWithSpaces>2366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2020-03-24T06:31:00Z</dcterms:created>
  <dc:creator>邢倩</dc:creator>
  <cp:lastModifiedBy>syou</cp:lastModifiedBy>
  <dcterms:modified xsi:type="dcterms:W3CDTF">2020-04-08T07:54:35Z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